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09925AFC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055D">
        <w:rPr>
          <w:rFonts w:eastAsia="Calibri" w:cs="Calibri"/>
          <w:b/>
          <w:bCs/>
          <w:noProof/>
          <w:sz w:val="28"/>
          <w:szCs w:val="28"/>
        </w:rPr>
        <w:t>High School Principals</w:t>
      </w:r>
    </w:p>
    <w:p w14:paraId="46120C29" w14:textId="0B1C289D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D69551D" w14:textId="30E8F708" w:rsidR="00525A12" w:rsidRPr="00752823" w:rsidRDefault="000F055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October 28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597F43A5" w14:textId="32EEC072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1729DD97" w14:textId="64AFDD53" w:rsidR="00752823" w:rsidRPr="00752823" w:rsidRDefault="00D9705D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Room 14 – Sixth Street</w:t>
      </w:r>
      <w:r w:rsidR="00752823" w:rsidRPr="00752823">
        <w:rPr>
          <w:rFonts w:eastAsia="Calibri" w:cs="Calibri"/>
          <w:b/>
          <w:bCs/>
          <w:spacing w:val="-2"/>
          <w:sz w:val="28"/>
          <w:szCs w:val="28"/>
        </w:rPr>
        <w:t xml:space="preserve"> Administration Building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D673592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D9705D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D9705D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3767F1B5" w14:textId="77777777" w:rsidR="00D9705D" w:rsidRPr="000F055D" w:rsidRDefault="00D970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9705D">
        <w:rPr>
          <w:rFonts w:eastAsia="Calibri" w:cs="Calibri"/>
          <w:sz w:val="24"/>
          <w:szCs w:val="24"/>
        </w:rPr>
        <w:t>Debrief facilities planning meetings</w:t>
      </w:r>
    </w:p>
    <w:p w14:paraId="7459CDA9" w14:textId="3433D1D8" w:rsidR="000F055D" w:rsidRPr="00D9705D" w:rsidRDefault="000F05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z w:val="24"/>
          <w:szCs w:val="24"/>
        </w:rPr>
        <w:t>Share PLC structure</w:t>
      </w:r>
    </w:p>
    <w:p w14:paraId="7B7F0B63" w14:textId="558CBD31" w:rsidR="00D9705D" w:rsidRPr="00D9705D" w:rsidRDefault="00D970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9705D">
        <w:rPr>
          <w:rFonts w:eastAsia="Calibri" w:cs="Calibri"/>
          <w:sz w:val="24"/>
          <w:szCs w:val="24"/>
        </w:rPr>
        <w:t>Begin building background knowledge about Universal Design for Learning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50E09A5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6E4A62" w:rsidRPr="00805470">
        <w:rPr>
          <w:rFonts w:eastAsia="Comic Sans MS" w:cs="Comic Sans MS"/>
          <w:b/>
          <w:sz w:val="24"/>
          <w:szCs w:val="24"/>
        </w:rPr>
        <w:t xml:space="preserve">Agenda Setter </w:t>
      </w:r>
      <w:r w:rsidRPr="00805470">
        <w:rPr>
          <w:rFonts w:eastAsia="Comic Sans MS" w:cs="Comic Sans MS"/>
          <w:sz w:val="24"/>
          <w:szCs w:val="24"/>
        </w:rPr>
        <w:t>- Mark</w:t>
      </w:r>
    </w:p>
    <w:p w14:paraId="3341A565" w14:textId="43105688" w:rsidR="0026520D" w:rsidRPr="00805470" w:rsidRDefault="006E4A62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Pr="00805470">
        <w:rPr>
          <w:rFonts w:eastAsia="Comic Sans MS" w:cs="Comic Sans MS"/>
          <w:sz w:val="24"/>
          <w:szCs w:val="24"/>
        </w:rPr>
        <w:t xml:space="preserve"> </w:t>
      </w:r>
      <w:r w:rsidR="00805470"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8D37CD" w14:paraId="5BFFAE0D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752823">
        <w:trPr>
          <w:trHeight w:hRule="exact" w:val="33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E0D32B1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752823">
        <w:trPr>
          <w:trHeight w:hRule="exact" w:val="323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19EEC6B" w:rsidR="003234D8" w:rsidRPr="008D37CD" w:rsidRDefault="002A23B0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4:05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6B414B72" w:rsidR="003234D8" w:rsidRPr="008B348E" w:rsidRDefault="003234D8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3234D8" w:rsidRPr="008D37CD" w14:paraId="2242BCE0" w14:textId="3591D8C4" w:rsidTr="00D9705D">
        <w:trPr>
          <w:trHeight w:hRule="exact" w:val="3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389D0D2" w:rsidR="003234D8" w:rsidRPr="008D37CD" w:rsidRDefault="006E4A62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AA3499">
        <w:trPr>
          <w:trHeight w:hRule="exact" w:val="775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1DF3D1C1" w:rsidR="001352BF" w:rsidRDefault="002A23B0" w:rsidP="002A23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4:15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D9705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A100" w14:textId="77777777" w:rsidR="00D9705D" w:rsidRDefault="00D9705D" w:rsidP="00D9705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sz w:val="24"/>
                <w:szCs w:val="24"/>
              </w:rPr>
              <w:t>Debrief facilities planning meetings</w:t>
            </w:r>
          </w:p>
          <w:p w14:paraId="14C318A7" w14:textId="70D13A97" w:rsidR="00D9705D" w:rsidRPr="00D9705D" w:rsidRDefault="00D9705D" w:rsidP="00D9705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color w:val="000000" w:themeColor="text1"/>
                <w:sz w:val="24"/>
                <w:szCs w:val="24"/>
              </w:rPr>
              <w:t>Plus/Delta</w:t>
            </w:r>
          </w:p>
          <w:p w14:paraId="31048084" w14:textId="1B958A33" w:rsidR="00D9705D" w:rsidRPr="00D9705D" w:rsidRDefault="00D9705D" w:rsidP="00D9705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9705D">
              <w:rPr>
                <w:rFonts w:eastAsia="Calibri" w:cs="Calibri"/>
                <w:color w:val="000000" w:themeColor="text1"/>
                <w:sz w:val="24"/>
                <w:szCs w:val="24"/>
              </w:rPr>
              <w:t>Next Steps</w:t>
            </w:r>
          </w:p>
          <w:p w14:paraId="2707B645" w14:textId="77777777" w:rsidR="002A23B0" w:rsidRDefault="00884103" w:rsidP="00884103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 w:rsidRPr="00884103">
              <w:rPr>
                <w:rFonts w:eastAsia="Calibri" w:cs="Calibri"/>
                <w:b/>
                <w:color w:val="FF0000"/>
                <w:sz w:val="24"/>
                <w:szCs w:val="24"/>
              </w:rPr>
              <w:t>PLUS</w:t>
            </w:r>
          </w:p>
          <w:p w14:paraId="1AE0BF8C" w14:textId="5271445D" w:rsidR="00884103" w:rsidRDefault="00AD2DD4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Student input</w:t>
            </w:r>
          </w:p>
          <w:p w14:paraId="5E587F7F" w14:textId="46464ACA" w:rsidR="00AD2DD4" w:rsidRDefault="00AD2DD4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Handouts and materials</w:t>
            </w:r>
            <w:r w:rsidR="00AF2A81">
              <w:rPr>
                <w:rFonts w:eastAsia="Calibri" w:cs="Calibri"/>
                <w:color w:val="FF0000"/>
                <w:sz w:val="24"/>
                <w:szCs w:val="24"/>
              </w:rPr>
              <w:t xml:space="preserve"> (binder/booklet)</w:t>
            </w:r>
          </w:p>
          <w:p w14:paraId="49A9A0E3" w14:textId="5FD239FC" w:rsidR="00AF2A81" w:rsidRDefault="00AF2A81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Chose engaged parents/community members</w:t>
            </w:r>
          </w:p>
          <w:p w14:paraId="617E33C1" w14:textId="77777777" w:rsidR="000E1D91" w:rsidRDefault="000E1D91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Students/community members saw a wide variety of components to process</w:t>
            </w:r>
          </w:p>
          <w:p w14:paraId="644A4FC6" w14:textId="2207413D" w:rsidR="000E1D91" w:rsidRDefault="003D1B67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Nick Salmon’s expertise and multiple ways of setting up schooling</w:t>
            </w:r>
          </w:p>
          <w:p w14:paraId="63B52E1C" w14:textId="509B6FCE" w:rsidR="001177AC" w:rsidRPr="001177AC" w:rsidRDefault="003D1B67" w:rsidP="001177A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Framing options from “do nothing” to “out of the box”</w:t>
            </w:r>
          </w:p>
          <w:p w14:paraId="010E8FA7" w14:textId="77777777" w:rsidR="00884103" w:rsidRDefault="00884103" w:rsidP="00884103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</w:p>
          <w:p w14:paraId="26A99F5C" w14:textId="77777777" w:rsidR="00884103" w:rsidRDefault="00884103" w:rsidP="00884103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z w:val="24"/>
                <w:szCs w:val="24"/>
              </w:rPr>
              <w:t>DELTA</w:t>
            </w:r>
          </w:p>
          <w:p w14:paraId="561D3C3E" w14:textId="1F074F51" w:rsidR="00884103" w:rsidRDefault="00AF2A81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Change location (taken care of already)</w:t>
            </w:r>
          </w:p>
          <w:p w14:paraId="71E8C34F" w14:textId="77777777" w:rsidR="000E1D91" w:rsidRDefault="000E1D91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Too many items (36) to focus students/community members – 5 </w:t>
            </w: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was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a good number?</w:t>
            </w:r>
          </w:p>
          <w:p w14:paraId="4A999407" w14:textId="09999734" w:rsidR="000E1D91" w:rsidRDefault="000E1D91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every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time we got into a good discussion we were prompted to move along</w:t>
            </w:r>
          </w:p>
          <w:p w14:paraId="018D377F" w14:textId="016F626C" w:rsidR="000E1D91" w:rsidRDefault="000E1D91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? </w:t>
            </w: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use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of Frank Locker model – seems to be a prescriptive model (we didn’t build the rubric in terms of what is important); many worthy things NOT included in the rubric</w:t>
            </w:r>
          </w:p>
          <w:p w14:paraId="56AAB991" w14:textId="6E9DD341" w:rsidR="00D979B1" w:rsidRDefault="00D979B1" w:rsidP="0088410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Lack of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wi-fi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at facility</w:t>
            </w:r>
          </w:p>
          <w:p w14:paraId="26405081" w14:textId="77777777" w:rsidR="001177AC" w:rsidRPr="001177AC" w:rsidRDefault="001177AC" w:rsidP="001177AC">
            <w:pPr>
              <w:spacing w:after="0" w:line="240" w:lineRule="auto"/>
              <w:ind w:left="360"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761D04DA" w14:textId="01474575" w:rsidR="001177AC" w:rsidRDefault="001177AC" w:rsidP="001177AC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z w:val="24"/>
                <w:szCs w:val="24"/>
              </w:rPr>
              <w:t>QUESTIONS</w:t>
            </w:r>
          </w:p>
          <w:p w14:paraId="60B785FE" w14:textId="77777777" w:rsidR="001177AC" w:rsidRDefault="001177AC" w:rsidP="001177A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What is the end product?</w:t>
            </w:r>
          </w:p>
          <w:p w14:paraId="0EAE58C4" w14:textId="77777777" w:rsidR="001177AC" w:rsidRDefault="001177AC" w:rsidP="001177A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What we have?</w:t>
            </w:r>
          </w:p>
          <w:p w14:paraId="1E9D3F62" w14:textId="2B098CC3" w:rsidR="001177AC" w:rsidRPr="001177AC" w:rsidRDefault="001177AC" w:rsidP="001177A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What we want?</w:t>
            </w:r>
          </w:p>
          <w:p w14:paraId="01340522" w14:textId="620164D7" w:rsidR="00884103" w:rsidRPr="00884103" w:rsidRDefault="00884103" w:rsidP="00884103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</w:p>
        </w:tc>
      </w:tr>
      <w:tr w:rsidR="000F055D" w:rsidRPr="008D37CD" w14:paraId="7725DD9E" w14:textId="77777777" w:rsidTr="00BB2556">
        <w:trPr>
          <w:trHeight w:hRule="exact" w:val="208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1AAB" w14:textId="11956327" w:rsidR="000F055D" w:rsidRDefault="000F055D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4:30-4:45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24E9" w14:textId="77777777" w:rsidR="000F055D" w:rsidRDefault="000F055D" w:rsidP="00D9705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Share PLC structure, Jane will share Willard’s structure</w:t>
            </w:r>
          </w:p>
          <w:p w14:paraId="20D71AA5" w14:textId="5C3F9F66" w:rsidR="00415E42" w:rsidRPr="00415E42" w:rsidRDefault="00415E42" w:rsidP="00884103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Jane shared how Willard is working together to implement a common writing rubric across the school; they have integrated a previously written school-wide writing rubric with the CCSS ELA writing rubric. </w:t>
            </w:r>
            <w:r w:rsidR="00884103">
              <w:rPr>
                <w:rFonts w:eastAsia="Calibri" w:cs="Calibri"/>
                <w:color w:val="FF0000"/>
                <w:sz w:val="24"/>
                <w:szCs w:val="24"/>
              </w:rPr>
              <w:t>Staff is collaborating on interdisciplinary units and shared the rubric with students. In January staff will review student work collaboratively in light of the rubric.</w:t>
            </w:r>
            <w:r w:rsidR="00BB2556">
              <w:rPr>
                <w:rFonts w:eastAsia="Calibri" w:cs="Calibri"/>
                <w:color w:val="FF0000"/>
                <w:sz w:val="24"/>
                <w:szCs w:val="24"/>
              </w:rPr>
              <w:t xml:space="preserve"> Other principals asked questions and shared their experiences and insights.</w:t>
            </w:r>
          </w:p>
        </w:tc>
      </w:tr>
      <w:tr w:rsidR="009E0F94" w:rsidRPr="008D37CD" w14:paraId="11D18E01" w14:textId="77777777" w:rsidTr="00184B3B">
        <w:trPr>
          <w:trHeight w:hRule="exact" w:val="80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2C647129" w:rsidR="009E0F94" w:rsidRDefault="000F055D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4:45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D9C8" w14:textId="61435EA2" w:rsidR="00D9705D" w:rsidRDefault="00D9705D" w:rsidP="00D9705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sz w:val="24"/>
                <w:szCs w:val="24"/>
              </w:rPr>
              <w:t>Begin building background knowledge about Universal Design for Learning</w:t>
            </w:r>
            <w:r w:rsidR="000F055D">
              <w:rPr>
                <w:rFonts w:eastAsia="Calibri" w:cs="Calibri"/>
                <w:sz w:val="24"/>
                <w:szCs w:val="24"/>
              </w:rPr>
              <w:t xml:space="preserve"> (Karen)</w:t>
            </w:r>
          </w:p>
          <w:p w14:paraId="5E7B2E54" w14:textId="7BD7507E" w:rsidR="00184B3B" w:rsidRPr="00DF4058" w:rsidRDefault="00DF4058" w:rsidP="00D9705D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Karen showed the </w:t>
            </w:r>
            <w:r>
              <w:rPr>
                <w:rFonts w:eastAsia="Calibri" w:cs="Calibri"/>
                <w:i/>
                <w:color w:val="FF0000"/>
                <w:spacing w:val="-2"/>
                <w:position w:val="1"/>
                <w:sz w:val="24"/>
                <w:szCs w:val="24"/>
              </w:rPr>
              <w:t xml:space="preserve">UDL at a Glance 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video from CAST.org</w:t>
            </w:r>
          </w:p>
          <w:p w14:paraId="184B0A29" w14:textId="5D3880F8" w:rsidR="002A23B0" w:rsidRPr="00D9705D" w:rsidRDefault="002A23B0" w:rsidP="00D9705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8A62F3">
        <w:trPr>
          <w:trHeight w:hRule="exact" w:val="964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12E7CA2A" w:rsidR="003234D8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5</w:t>
            </w:r>
            <w:r w:rsidR="000F055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-5:25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28390B94" w14:textId="618BBF1C" w:rsidR="004A730E" w:rsidRDefault="0070388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Dates for:</w:t>
            </w:r>
            <w:r w:rsidR="00776286">
              <w:rPr>
                <w:rFonts w:eastAsia="Calibri" w:cs="Calibri"/>
                <w:color w:val="FF0000"/>
                <w:sz w:val="24"/>
                <w:szCs w:val="24"/>
              </w:rPr>
              <w:t xml:space="preserve"> (Principals)</w:t>
            </w:r>
          </w:p>
          <w:p w14:paraId="2F7DF6F2" w14:textId="19563DC3" w:rsidR="004A730E" w:rsidRDefault="004A730E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</w:t>
            </w:r>
            <w:r w:rsidRPr="004A730E">
              <w:rPr>
                <w:rFonts w:eastAsia="Calibri" w:cs="Calibri"/>
                <w:color w:val="FF0000"/>
                <w:sz w:val="24"/>
                <w:szCs w:val="24"/>
                <w:highlight w:val="yellow"/>
              </w:rPr>
              <w:t>Week of 1/7/14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       Counselor/principal meeting</w:t>
            </w:r>
          </w:p>
          <w:p w14:paraId="2D03F2F4" w14:textId="4AEF38D4" w:rsidR="00184B3B" w:rsidRDefault="00184B3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Parent/8</w:t>
            </w:r>
            <w:r w:rsidRPr="00184B3B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grader nights</w:t>
            </w:r>
            <w:r w:rsidR="00C913E4">
              <w:rPr>
                <w:rFonts w:eastAsia="Calibri" w:cs="Calibri"/>
                <w:color w:val="FF0000"/>
                <w:sz w:val="24"/>
                <w:szCs w:val="24"/>
              </w:rPr>
              <w:t xml:space="preserve"> – </w:t>
            </w:r>
          </w:p>
          <w:p w14:paraId="3B049D41" w14:textId="75E569F4" w:rsidR="00C913E4" w:rsidRDefault="00C913E4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  <w:r w:rsidRPr="004A730E">
              <w:rPr>
                <w:rFonts w:eastAsia="Calibri" w:cs="Calibri"/>
                <w:color w:val="0000FF"/>
                <w:sz w:val="24"/>
                <w:szCs w:val="24"/>
              </w:rPr>
              <w:t xml:space="preserve">Big </w:t>
            </w:r>
            <w:proofErr w:type="gramStart"/>
            <w:r w:rsidRPr="004A730E">
              <w:rPr>
                <w:rFonts w:eastAsia="Calibri" w:cs="Calibri"/>
                <w:color w:val="0000FF"/>
                <w:sz w:val="24"/>
                <w:szCs w:val="24"/>
              </w:rPr>
              <w:t>Sky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 </w:t>
            </w:r>
            <w:r w:rsidR="004A730E" w:rsidRPr="004A730E">
              <w:rPr>
                <w:rFonts w:eastAsia="Calibri" w:cs="Calibri"/>
                <w:color w:val="0000FF"/>
                <w:sz w:val="24"/>
                <w:szCs w:val="24"/>
                <w:highlight w:val="yellow"/>
              </w:rPr>
              <w:t>Jan</w:t>
            </w:r>
            <w:proofErr w:type="gramEnd"/>
            <w:r w:rsidR="004A730E" w:rsidRPr="004A730E">
              <w:rPr>
                <w:rFonts w:eastAsia="Calibri" w:cs="Calibri"/>
                <w:color w:val="0000FF"/>
                <w:sz w:val="24"/>
                <w:szCs w:val="24"/>
                <w:highlight w:val="yellow"/>
              </w:rPr>
              <w:t xml:space="preserve"> 2014</w:t>
            </w:r>
            <w:r w:rsidR="004A730E">
              <w:rPr>
                <w:rFonts w:eastAsia="Calibri" w:cs="Calibri"/>
                <w:color w:val="FF000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    </w:t>
            </w:r>
            <w:r w:rsidRPr="004A730E">
              <w:rPr>
                <w:rFonts w:eastAsia="Calibri" w:cs="Calibri"/>
                <w:color w:val="5F497A" w:themeColor="accent4" w:themeShade="BF"/>
                <w:sz w:val="24"/>
                <w:szCs w:val="24"/>
              </w:rPr>
              <w:t>Sentinel</w:t>
            </w:r>
            <w:r w:rsidRPr="004A730E">
              <w:rPr>
                <w:rFonts w:eastAsia="Calibri" w:cs="Calibri"/>
                <w:color w:val="660066"/>
                <w:sz w:val="24"/>
                <w:szCs w:val="24"/>
              </w:rPr>
              <w:t xml:space="preserve"> </w:t>
            </w:r>
            <w:r w:rsidR="004A730E" w:rsidRPr="004A730E">
              <w:rPr>
                <w:rFonts w:eastAsia="Calibri" w:cs="Calibri"/>
                <w:color w:val="5F497A" w:themeColor="accent4" w:themeShade="BF"/>
                <w:sz w:val="24"/>
                <w:szCs w:val="24"/>
                <w:highlight w:val="yellow"/>
              </w:rPr>
              <w:t>1/22/14</w:t>
            </w:r>
            <w:r w:rsidR="004A730E">
              <w:rPr>
                <w:rFonts w:eastAsia="Calibri" w:cs="Calibri"/>
                <w:color w:val="660066"/>
                <w:sz w:val="24"/>
                <w:szCs w:val="24"/>
              </w:rPr>
              <w:t xml:space="preserve">  </w:t>
            </w:r>
            <w:r w:rsidRPr="004A730E">
              <w:rPr>
                <w:rFonts w:eastAsia="Calibri" w:cs="Calibri"/>
                <w:color w:val="660066"/>
                <w:sz w:val="24"/>
                <w:szCs w:val="24"/>
              </w:rPr>
              <w:t xml:space="preserve">  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   Hellgate</w:t>
            </w:r>
            <w:r w:rsidR="004A730E">
              <w:rPr>
                <w:rFonts w:eastAsia="Calibri" w:cs="Calibri"/>
                <w:color w:val="FF0000"/>
                <w:sz w:val="24"/>
                <w:szCs w:val="24"/>
              </w:rPr>
              <w:t xml:space="preserve">   </w:t>
            </w:r>
            <w:r w:rsidR="004A730E" w:rsidRPr="004A730E">
              <w:rPr>
                <w:rFonts w:eastAsia="Calibri" w:cs="Calibri"/>
                <w:color w:val="FF0000"/>
                <w:sz w:val="24"/>
                <w:szCs w:val="24"/>
                <w:highlight w:val="yellow"/>
              </w:rPr>
              <w:t>Jan 2014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     </w:t>
            </w:r>
            <w:r w:rsidRPr="004A730E">
              <w:rPr>
                <w:rFonts w:eastAsia="Calibri" w:cs="Calibri"/>
                <w:sz w:val="24"/>
                <w:szCs w:val="24"/>
              </w:rPr>
              <w:t>Seeley-Swan</w:t>
            </w:r>
            <w:r w:rsidR="004A730E">
              <w:rPr>
                <w:rFonts w:eastAsia="Calibri" w:cs="Calibri"/>
                <w:sz w:val="24"/>
                <w:szCs w:val="24"/>
              </w:rPr>
              <w:t xml:space="preserve"> </w:t>
            </w:r>
            <w:r w:rsidR="004A730E" w:rsidRPr="004A730E">
              <w:rPr>
                <w:rFonts w:eastAsia="Calibri" w:cs="Calibri"/>
                <w:color w:val="000000" w:themeColor="text1"/>
                <w:sz w:val="24"/>
                <w:szCs w:val="24"/>
                <w:highlight w:val="yellow"/>
              </w:rPr>
              <w:t>Feb 2014</w:t>
            </w:r>
          </w:p>
          <w:p w14:paraId="3C34C93A" w14:textId="6C27807A" w:rsidR="004A730E" w:rsidRPr="004A730E" w:rsidRDefault="004A730E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  <w:r>
              <w:rPr>
                <w:rFonts w:eastAsia="Calibri" w:cs="Calibri"/>
                <w:color w:val="000000" w:themeColor="text1"/>
                <w:sz w:val="24"/>
                <w:szCs w:val="24"/>
              </w:rPr>
              <w:t xml:space="preserve">  </w:t>
            </w:r>
            <w:r w:rsidRPr="004A730E">
              <w:rPr>
                <w:rFonts w:eastAsia="Calibri" w:cs="Calibri"/>
                <w:color w:val="FF0000"/>
                <w:sz w:val="24"/>
                <w:szCs w:val="24"/>
                <w:highlight w:val="yellow"/>
              </w:rPr>
              <w:t>1/31/14</w:t>
            </w:r>
            <w:r>
              <w:rPr>
                <w:rFonts w:eastAsia="Calibri" w:cs="Calibri"/>
                <w:color w:val="000000" w:themeColor="text1"/>
                <w:sz w:val="24"/>
                <w:szCs w:val="24"/>
              </w:rPr>
              <w:t xml:space="preserve">     </w:t>
            </w:r>
            <w:r w:rsidRPr="004A730E">
              <w:rPr>
                <w:rFonts w:eastAsia="Calibri" w:cs="Calibri"/>
                <w:color w:val="FF0000"/>
                <w:sz w:val="24"/>
                <w:szCs w:val="24"/>
              </w:rPr>
              <w:t>Deadline for out of area request forms</w:t>
            </w:r>
          </w:p>
          <w:p w14:paraId="4AF2D07D" w14:textId="213CD933" w:rsidR="00184B3B" w:rsidRDefault="00184B3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 </w:t>
            </w:r>
            <w:r w:rsidRPr="00184B3B">
              <w:rPr>
                <w:rFonts w:eastAsia="Calibri" w:cs="Calibri"/>
                <w:color w:val="FF0000"/>
                <w:sz w:val="24"/>
                <w:szCs w:val="24"/>
                <w:highlight w:val="yellow"/>
              </w:rPr>
              <w:t>2/11/14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    8</w:t>
            </w:r>
            <w:r w:rsidRPr="00184B3B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grade visits to high schools   </w:t>
            </w:r>
          </w:p>
          <w:p w14:paraId="21407318" w14:textId="77777777" w:rsidR="00703880" w:rsidRDefault="0070388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08C3058" w14:textId="71D90D32" w:rsidR="00703880" w:rsidRDefault="0070388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Fall Report – Annual Data Collection</w:t>
            </w:r>
            <w:r w:rsidR="00BB3CAF">
              <w:rPr>
                <w:rFonts w:eastAsia="Calibri" w:cs="Calibri"/>
                <w:color w:val="FF0000"/>
                <w:sz w:val="24"/>
                <w:szCs w:val="24"/>
              </w:rPr>
              <w:t xml:space="preserve"> (Mark)</w:t>
            </w:r>
          </w:p>
          <w:p w14:paraId="70105B0E" w14:textId="64232A8D" w:rsidR="00703880" w:rsidRDefault="00703880" w:rsidP="00703880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Still in limbo as OPI works through this; will communicate as soon as we know more</w:t>
            </w:r>
          </w:p>
          <w:p w14:paraId="15510DA2" w14:textId="77777777" w:rsidR="00BB3CAF" w:rsidRDefault="00BB3CAF" w:rsidP="00BB3CA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2EDC3BB7" w14:textId="16449EC6" w:rsidR="00BB3CAF" w:rsidRDefault="00BB3CAF" w:rsidP="00BB3CA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CSIP </w:t>
            </w:r>
            <w:r w:rsidR="00776286">
              <w:rPr>
                <w:rFonts w:eastAsia="Calibri" w:cs="Calibri"/>
                <w:color w:val="FF0000"/>
                <w:sz w:val="24"/>
                <w:szCs w:val="24"/>
              </w:rPr>
              <w:t>(Mark)</w:t>
            </w:r>
          </w:p>
          <w:p w14:paraId="03409C5F" w14:textId="42C26415" w:rsidR="00BB3CAF" w:rsidRPr="00BB3CAF" w:rsidRDefault="00BB3CAF" w:rsidP="00BB3CAF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Only 3 schools are NOT complete at this time; please see if yours says it is complete; Title I Schools do have an additional section to complete</w:t>
            </w:r>
          </w:p>
          <w:p w14:paraId="23724FBA" w14:textId="77777777" w:rsidR="00BA17D3" w:rsidRDefault="00BA17D3" w:rsidP="00BA17D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7960E990" w14:textId="41FBBEF1" w:rsidR="00BA17D3" w:rsidRDefault="00BA17D3" w:rsidP="00BA17D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7am meeting Friday – College Readiness Week plans</w:t>
            </w:r>
            <w:r w:rsidR="00BB3CAF">
              <w:rPr>
                <w:rFonts w:eastAsia="Calibri" w:cs="Calibri"/>
                <w:color w:val="FF0000"/>
                <w:sz w:val="24"/>
                <w:szCs w:val="24"/>
              </w:rPr>
              <w:t xml:space="preserve"> (Mark)</w:t>
            </w:r>
          </w:p>
          <w:p w14:paraId="5575D127" w14:textId="77777777" w:rsidR="005D4761" w:rsidRDefault="005D4761" w:rsidP="00BA17D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23E5B018" w14:textId="7953933E" w:rsidR="005D4761" w:rsidRDefault="005D4761" w:rsidP="00BA17D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SPED monitoring visit at the high school this week</w:t>
            </w:r>
            <w:r w:rsidR="00776286">
              <w:rPr>
                <w:rFonts w:eastAsia="Calibri" w:cs="Calibri"/>
                <w:color w:val="FF0000"/>
                <w:sz w:val="24"/>
                <w:szCs w:val="24"/>
              </w:rPr>
              <w:t xml:space="preserve"> (Ginny)</w:t>
            </w:r>
          </w:p>
          <w:p w14:paraId="3DA143EA" w14:textId="68DF1056" w:rsidR="005D4761" w:rsidRDefault="005D4761" w:rsidP="005D4761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All buildings need to make sure they have a private space for monitors to review confidential student files</w:t>
            </w:r>
          </w:p>
          <w:p w14:paraId="61C0FDE8" w14:textId="77777777" w:rsidR="00776286" w:rsidRPr="00776286" w:rsidRDefault="00776286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92F8351" w14:textId="0D21A8A2" w:rsidR="00776286" w:rsidRDefault="00776286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Next Generation Science Standards (Karen)</w:t>
            </w:r>
          </w:p>
          <w:p w14:paraId="61C69BF3" w14:textId="77777777" w:rsidR="00776286" w:rsidRDefault="00776286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1B59924B" w14:textId="564E18FE" w:rsidR="00776286" w:rsidRDefault="00776286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Best Practices for Indian Ed for All (Karen)</w:t>
            </w:r>
          </w:p>
          <w:p w14:paraId="6005F2A8" w14:textId="77777777" w:rsidR="00512BCC" w:rsidRDefault="00512BCC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5F3B0446" w14:textId="1C1F38D9" w:rsidR="00512BCC" w:rsidRDefault="00512BCC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CCSS Leadership Team mathematics training  - positive experience; 180 degree change and great collaboration among Hellgate team (Lisa/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Alanna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>)</w:t>
            </w:r>
          </w:p>
          <w:p w14:paraId="418E70A5" w14:textId="77777777" w:rsidR="00512BCC" w:rsidRDefault="00512BCC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10844C7A" w14:textId="71DBE64E" w:rsidR="00512BCC" w:rsidRDefault="00512BCC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Blended hardcopy/online course request model (Sentinel/Big Sky); Big Sky’s goal is to complete process the same way as Sentinel; Hellgate is working toward the blended model as the current online alternative requests are getting lost at Hellgate. (Lisa)</w:t>
            </w:r>
          </w:p>
          <w:p w14:paraId="503C367D" w14:textId="77777777" w:rsidR="00776286" w:rsidRPr="00776286" w:rsidRDefault="00776286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7ADDA34E" w14:textId="77777777" w:rsidR="00776286" w:rsidRPr="00776286" w:rsidRDefault="00776286" w:rsidP="0077628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2D544162" w14:textId="77777777" w:rsidR="00703880" w:rsidRDefault="0070388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145D1F40" w14:textId="77777777" w:rsidR="00703880" w:rsidRDefault="0070388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3364B5CA" w14:textId="03F6A588" w:rsidR="00184B3B" w:rsidRDefault="00184B3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                     </w:t>
            </w:r>
          </w:p>
          <w:p w14:paraId="10A240A0" w14:textId="77777777" w:rsidR="004A730E" w:rsidRDefault="004A730E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2690D1E9" w14:textId="77777777" w:rsidR="00184B3B" w:rsidRPr="00184B3B" w:rsidRDefault="00184B3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752823" w:rsidRPr="008D37CD" w14:paraId="098518CF" w14:textId="55AC5920" w:rsidTr="00B804C0">
        <w:trPr>
          <w:trHeight w:hRule="exact" w:val="387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31032C48" w:rsidR="00752823" w:rsidRPr="008D37CD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5:25-5:30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AEEA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6F861229" w14:textId="77777777" w:rsidR="00752823" w:rsidRDefault="00752823" w:rsidP="00D31999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5738FDB" w14:textId="77777777" w:rsidR="00752823" w:rsidRDefault="00752823" w:rsidP="00D31999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4301DEED" w14:textId="3135802F" w:rsidR="00D31999" w:rsidRDefault="00D31999" w:rsidP="00D31999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 w:rsidRPr="00D31999"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PLUS</w:t>
            </w:r>
          </w:p>
          <w:p w14:paraId="6E1FD237" w14:textId="77777777" w:rsidR="00D31999" w:rsidRDefault="00D31999" w:rsidP="00D31999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Hearing from Jane</w:t>
            </w:r>
          </w:p>
          <w:p w14:paraId="32D5FA47" w14:textId="77777777" w:rsidR="00D31999" w:rsidRDefault="00D31999" w:rsidP="00D31999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Sharing</w:t>
            </w:r>
          </w:p>
          <w:p w14:paraId="55B28F58" w14:textId="77777777" w:rsidR="00D31999" w:rsidRDefault="00D31999" w:rsidP="00D31999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Strategies to overcome </w:t>
            </w:r>
            <w:proofErr w:type="spellStart"/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resistence</w:t>
            </w:r>
            <w:proofErr w:type="spellEnd"/>
          </w:p>
          <w:p w14:paraId="6C836908" w14:textId="27E5FEE2" w:rsidR="00D31999" w:rsidRPr="00D31999" w:rsidRDefault="00D31999" w:rsidP="00D31999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Start/end on time</w:t>
            </w:r>
          </w:p>
          <w:p w14:paraId="08614F92" w14:textId="77777777" w:rsidR="00D31999" w:rsidRDefault="00D31999" w:rsidP="00D31999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18364AAA" w14:textId="75DB1F31" w:rsidR="00D31999" w:rsidRDefault="00D31999" w:rsidP="00D31999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DELTA</w:t>
            </w:r>
          </w:p>
          <w:p w14:paraId="099B739C" w14:textId="2BAEDB4D" w:rsidR="00D31999" w:rsidRPr="00D31999" w:rsidRDefault="00D31999" w:rsidP="00D31999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How much applies 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to our coordinators</w:t>
            </w:r>
          </w:p>
          <w:p w14:paraId="2F1DC6AA" w14:textId="3D6FF027" w:rsidR="00D31999" w:rsidRPr="00D31999" w:rsidRDefault="00D31999" w:rsidP="00D31999">
            <w:pPr>
              <w:pStyle w:val="ListParagraph"/>
              <w:numPr>
                <w:ilvl w:val="0"/>
                <w:numId w:val="2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CCSS Leadership team training debrief</w:t>
            </w:r>
            <w:bookmarkStart w:id="0" w:name="_GoBack"/>
            <w:bookmarkEnd w:id="0"/>
          </w:p>
          <w:p w14:paraId="5073E781" w14:textId="33CA0053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5AF576BE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B092E"/>
    <w:multiLevelType w:val="hybridMultilevel"/>
    <w:tmpl w:val="09009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A5AD5"/>
    <w:multiLevelType w:val="hybridMultilevel"/>
    <w:tmpl w:val="F034A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10F05"/>
    <w:multiLevelType w:val="hybridMultilevel"/>
    <w:tmpl w:val="C3E01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27C55"/>
    <w:multiLevelType w:val="hybridMultilevel"/>
    <w:tmpl w:val="75386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F3AB7"/>
    <w:multiLevelType w:val="hybridMultilevel"/>
    <w:tmpl w:val="728AA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6C6450"/>
    <w:multiLevelType w:val="hybridMultilevel"/>
    <w:tmpl w:val="25D23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9B35A2"/>
    <w:multiLevelType w:val="hybridMultilevel"/>
    <w:tmpl w:val="76367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7"/>
  </w:num>
  <w:num w:numId="4">
    <w:abstractNumId w:val="0"/>
  </w:num>
  <w:num w:numId="5">
    <w:abstractNumId w:val="14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0"/>
  </w:num>
  <w:num w:numId="11">
    <w:abstractNumId w:val="11"/>
  </w:num>
  <w:num w:numId="12">
    <w:abstractNumId w:val="16"/>
  </w:num>
  <w:num w:numId="13">
    <w:abstractNumId w:val="2"/>
  </w:num>
  <w:num w:numId="14">
    <w:abstractNumId w:val="18"/>
  </w:num>
  <w:num w:numId="15">
    <w:abstractNumId w:val="4"/>
  </w:num>
  <w:num w:numId="16">
    <w:abstractNumId w:val="12"/>
  </w:num>
  <w:num w:numId="17">
    <w:abstractNumId w:val="6"/>
  </w:num>
  <w:num w:numId="18">
    <w:abstractNumId w:val="21"/>
  </w:num>
  <w:num w:numId="19">
    <w:abstractNumId w:val="3"/>
  </w:num>
  <w:num w:numId="20">
    <w:abstractNumId w:val="17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0E1D91"/>
    <w:rsid w:val="000F055D"/>
    <w:rsid w:val="001042D8"/>
    <w:rsid w:val="001177AC"/>
    <w:rsid w:val="001352BF"/>
    <w:rsid w:val="001537F1"/>
    <w:rsid w:val="00184B3B"/>
    <w:rsid w:val="001923DA"/>
    <w:rsid w:val="001F43F4"/>
    <w:rsid w:val="00243062"/>
    <w:rsid w:val="0026520D"/>
    <w:rsid w:val="002A230D"/>
    <w:rsid w:val="002A23B0"/>
    <w:rsid w:val="003234D8"/>
    <w:rsid w:val="003D1B67"/>
    <w:rsid w:val="00415E42"/>
    <w:rsid w:val="004A730E"/>
    <w:rsid w:val="004D6FBF"/>
    <w:rsid w:val="00512BCC"/>
    <w:rsid w:val="00525A12"/>
    <w:rsid w:val="005348E5"/>
    <w:rsid w:val="005B357F"/>
    <w:rsid w:val="005D4761"/>
    <w:rsid w:val="005D6C25"/>
    <w:rsid w:val="00620286"/>
    <w:rsid w:val="006A07C2"/>
    <w:rsid w:val="006E0E3D"/>
    <w:rsid w:val="006E4A62"/>
    <w:rsid w:val="006F2D5E"/>
    <w:rsid w:val="00703880"/>
    <w:rsid w:val="00752823"/>
    <w:rsid w:val="00754BC6"/>
    <w:rsid w:val="00776286"/>
    <w:rsid w:val="00791DB1"/>
    <w:rsid w:val="007B72CB"/>
    <w:rsid w:val="0080090C"/>
    <w:rsid w:val="00805470"/>
    <w:rsid w:val="00884103"/>
    <w:rsid w:val="008A62F3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A3499"/>
    <w:rsid w:val="00AD25FB"/>
    <w:rsid w:val="00AD2DD4"/>
    <w:rsid w:val="00AE0C10"/>
    <w:rsid w:val="00AE4BEE"/>
    <w:rsid w:val="00AF2A81"/>
    <w:rsid w:val="00B17F8C"/>
    <w:rsid w:val="00B43B40"/>
    <w:rsid w:val="00B45E79"/>
    <w:rsid w:val="00B47B77"/>
    <w:rsid w:val="00B5170C"/>
    <w:rsid w:val="00B70452"/>
    <w:rsid w:val="00B804C0"/>
    <w:rsid w:val="00BA17D3"/>
    <w:rsid w:val="00BB2556"/>
    <w:rsid w:val="00BB3CAF"/>
    <w:rsid w:val="00C37DDD"/>
    <w:rsid w:val="00C913E4"/>
    <w:rsid w:val="00CF1488"/>
    <w:rsid w:val="00D26FAC"/>
    <w:rsid w:val="00D31999"/>
    <w:rsid w:val="00D70987"/>
    <w:rsid w:val="00D87187"/>
    <w:rsid w:val="00D9705D"/>
    <w:rsid w:val="00D979B1"/>
    <w:rsid w:val="00DF4058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E89D26-53A2-084F-B4CF-4C88263E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641</Words>
  <Characters>3657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21</cp:revision>
  <cp:lastPrinted>2013-09-05T13:04:00Z</cp:lastPrinted>
  <dcterms:created xsi:type="dcterms:W3CDTF">2013-10-28T22:25:00Z</dcterms:created>
  <dcterms:modified xsi:type="dcterms:W3CDTF">2013-10-28T23:29:00Z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